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color w:val="D30101"/>
          <w:sz w:val="24"/>
          <w:szCs w:val="24"/>
          <w:u w:val="none"/>
        </w:rPr>
      </w:pPr>
      <w:bookmarkStart w:id="0" w:name="_GoBack"/>
      <w:r>
        <w:rPr>
          <w:rFonts w:hint="eastAsia" w:ascii="宋体" w:hAnsi="宋体" w:eastAsia="宋体" w:cs="宋体"/>
          <w:b/>
          <w:color w:val="D30101"/>
          <w:kern w:val="0"/>
          <w:sz w:val="24"/>
          <w:szCs w:val="24"/>
          <w:u w:val="none"/>
          <w:bdr w:val="none" w:color="auto" w:sz="0" w:space="0"/>
          <w:lang w:val="en-US" w:eastAsia="zh-CN" w:bidi="ar-SA"/>
        </w:rPr>
        <w:t>科技部关于发布国家重点研发计划重大慢性非传染性疾病防控研究等重点专项2016年度项目申报指南的通知</w:t>
      </w:r>
    </w:p>
    <w:bookmarkEnd w:id="0"/>
    <w:p>
      <w:pPr>
        <w:pStyle w:val="2"/>
        <w:widowControl/>
        <w:spacing w:before="0" w:beforeAutospacing="0" w:after="0" w:afterAutospacing="0" w:line="360" w:lineRule="atLeast"/>
        <w:ind w:left="0" w:right="0"/>
        <w:jc w:val="center"/>
      </w:pPr>
      <w:r>
        <w:rPr>
          <w:rFonts w:hint="eastAsia" w:ascii="宋体" w:hAnsi="宋体" w:eastAsia="宋体" w:cs="宋体"/>
          <w:color w:val="333333"/>
          <w:sz w:val="19"/>
          <w:szCs w:val="19"/>
          <w:u w:val="none"/>
        </w:rPr>
        <w:t>国科发资〔2016〕104号</w:t>
      </w:r>
    </w:p>
    <w:p>
      <w:pPr>
        <w:pStyle w:val="2"/>
        <w:widowControl/>
        <w:spacing w:line="360" w:lineRule="atLeast"/>
        <w:jc w:val="left"/>
        <w:rPr>
          <w:rFonts w:hint="eastAsia" w:ascii="宋体" w:hAnsi="宋体" w:eastAsia="宋体" w:cs="宋体"/>
          <w:color w:val="333333"/>
          <w:sz w:val="19"/>
          <w:szCs w:val="19"/>
          <w:u w:val="none"/>
        </w:rPr>
      </w:pPr>
      <w:r>
        <w:rPr>
          <w:rFonts w:hint="eastAsia" w:ascii="宋体" w:hAnsi="宋体" w:eastAsia="宋体" w:cs="宋体"/>
          <w:color w:val="333333"/>
          <w:sz w:val="19"/>
          <w:szCs w:val="19"/>
          <w:u w:val="none"/>
        </w:rPr>
        <w:t>各省、自治区、直辖市及计划单列市科技厅（委、局），新疆生产建设兵团科技局，国务院各有关部门科技主管司局，各有关单位：</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国务院关于深化中央财政科技计划（专项、基金等）管理改革的方案》（国发〔2014〕64号，以下简称国发64号文件）明确规定，国家重点研发计划针对事关国计民生需要长期演进的重大社会公益性研究，以及事关产业核心竞争力、整体自主创新能力和国家安全的重大科学问题、重大共性关键技术和产品、重大国际科技合作，按照重点专项的方式组织实施，加强跨部门、跨行业、跨区域研发布局和协同创新，为国民经济和社会发展主要领域提供持续性的支撑和引领。重点专项是国家重点研发计划组织实施的载体，是聚焦国家重大战略任务、围绕解决当前国家发展面临的瓶颈和突出问题、以目标为导向的重大项目群。重点专项按程序报批后，交由相关专业机构负责具体项目管理工作。</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按照国发64号文件的要求，科技部会同相关部门，根据“自上而下”和“自下而上”相结合的原则，遵循国家重点研发计划新的项目形成机制，面向2016年凝练形成了若干重点专项并研究编制了各重点专项实施方案，已经国家科技计划（专项、基金等）管理战略咨询与综合评审特邀委员会（以下简称“特邀咨评委”）和部际联席会议审议通过，并按程序报国务院批复同意。根据“成熟一批、启动一批”的原则，现将“重大慢性非传染性疾病防控研究”、“海洋环境安全保障”2个重点专项2016年度项目申报指南予以公布。请根据指南要求组织项目申报工作。有关事项通知如下。</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一、项目组织申报要求及评审流程</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1. 申报单位根据指南支持方向的研究内容以项目形式组织申报，根据项目不同特点可设任务（或课题）。项目应整体申报，须覆盖相应指南方向的全部考核指标。项目申报单位推荐一名科研人员作为项目负责人，每个任务（或课题）设1名负责人，项目负责人可作为其中1个任务（或课题）负责人。</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2. 项目的组织实施应整合集成全国相关领域的优势创新团队，聚焦研发问题，强化基础研究、共性关键技术研发和典型应用示范各项任务间的统筹衔接，集中力量，联合攻关。</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3. 国家重点研发计划项目申报评审采取填写预申报书、正式申报书两步进行，具体工作流程如下：</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签署项目申报单位及项目负责人诚信承诺书。从指南发布日到预申报书受理截止日不少于30天。</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——各推荐单位参考往年推荐规模，加强对所推荐的项目申报单位及其合作方的资质、科研能力的审核把关，按时将推荐项目通过国家科技管理信息系统统一报送。</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专业机构在受理项目预申报后，组织形式审查，并开展首轮评审工作。首轮评审不需要项目负责人进行答辩。根据专家的会议评审结果，遴选出3—4倍于拟立项数量的申报项目，确定进入下一步答辩评审。对于未进入答辩评审的申报项目，及时将意见反馈项目申报单位和负责人。</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——申报单位在接到专业机构关于进入答辩评审的通知后，通过国家科技管理信息系统填写并提交项目正式申报书。从接到通知日到正式申报书受理截止日不少于20天。</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——专业机构对进入正式评审的项目申报书进行形式审查，并组织会议答辩评审。申报项目的负责人通过网络视频进行报告答辩。专业机构将根据专家评议情况择优建议立项。</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二、组织申报的推荐单位</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1. 国务院有关部门科技主管司局；</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2. 各省、自治区、直辖市、计划单列市及新疆生产建设兵团科技主管部门；</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3. 原工业部门转制成立的行业协会；</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4. 纳入科技部试点范围并评估结果为A类的产业技术创新战略联盟，以及纳入科技部、财政部开展的科技服务业创新发展行业试点联盟。</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将在国家科技管理信息系统公共服务平台上公开发布。</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三、申请资格要求</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1. 申报单位应为中国大陆境内注册1年以上（注册时间为2015年3月31日前）的科研院所、高等学校和企业等，具有独立法人资格，有较强的科技研发能力和条件，运行管理规范。政府机关不得作为申报单位进行申报。申报单位同一项目须通过单个推荐单位申报，不得多头申报和重复申报。</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2. 项目（含任务或课题）负责人须具有高级职称或博士学位，申报当年不超过60周岁（1956年1月1日以后出生），工作时间每年不得少于6个月。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3. 项目（含任务或课题）负责人限申报1个项目，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的在研项目（含任务或课题）负责人不得牵头申报国家重点研发计划重点专项项目（含任务或课题）；项目主要参加人员的申报项目和改革前计划、国家科技重大专项在研项目总数不得超过2个；改革前计划、国家科技重大专项的在研项目（含任务或课题）负责人不得因申报国家重点研发计划重点专项项目（含任务或课题）而退出目前承担的项目（含任务或课题）。计划任务书执行期到2016年12月底之前的在研项目（含任务或课题）不在限项范围内。</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4. 特邀咨评委委员及参与重点专项咨询评议的专家，不能申报本人参与咨询和论证过的重点专项项目（含任务或课题）；参与重点专项实施方案或本年度项目指南编制的专家，不能申报该重点专项项目（含任务或课题）。</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5.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6. 申报项目受理后，原则上不能更改申报单位和负责人。</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7. 项目的具体申报要求，详见各重点专项的申报指南。</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各申报单位在正式提交项目申报书前可利用国家科技管理信息系统公共服务平台查询相关参与人员承担改革前计划和国家科技重大专项在研项目（含任务或课题）情况，避免重复申报。</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四、具体申报方式</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1. 网上填报。请各申报单位按要求通过国家科技管理信息系统公共服务平台进行网上填报。专业机构将以网上填报的申报书作为后续形式审查、项目评审的依据。预申报书格式在国家科技管理信息系统公共服务平台相关专栏下载。</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项目申报单位网上填报预申报书的受理时间为：2016年4月19日8：00至5月9日17：00。申报项目通过首轮评审后，申报单位进一步按要求填报正式申报书，并通过国家科技管理信息系统提交，具体时间和有关要求另行通知。</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国家科技管理信息系统公共服务平台：http：//service.most.gov.cn；</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技术咨询电话：010—88659000（中继线）；</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技术咨询邮箱：program@most.cn。</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2. 组织推荐。请各推荐单位于2016年5月11日前（以寄出时间为准），将加盖推荐单位公章的推荐函（纸质，一式2份）、推荐项目清单（纸质，一式2份）寄送科技部信息中心。推荐项目清单须通过系统直接生成打印。</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寄送地址：北京市海淀区木樨地茂林居18号写字楼，科技部信息中心协调处，邮编：100038。</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联系电话：010—88654074。</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3. 材料报送和业务咨询。请各申报单位于2016年5月11日前（以寄出时间为准），将加盖申报单位公章的预申报书（纸质，一式2份），寄送承担项目所属重点专项管理的专业机构。预申报书须通过系统直接生成打印。</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各重点专项的咨询电话及寄送地址如下：</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（1）“重大慢性非传染性疾病防控研究”重点专项：010—88225169、88225156；</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中国生物技术发展中心，寄送地址：北京市海淀区西四环中路16号院4号楼，邮编：100039。</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（2）“海洋环境安全保障”重点专项：010—58884875、58884871；</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中国21世纪议程管理中心，寄送地址：北京市海淀区玉渊潭南路8号，邮编：100038。</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xml:space="preserve">    </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    附件：</w:t>
      </w:r>
    </w:p>
    <w:p>
      <w:pPr>
        <w:pStyle w:val="2"/>
        <w:widowControl/>
        <w:spacing w:line="360" w:lineRule="atLeast"/>
        <w:ind w:left="0" w:leftChars="0" w:firstLine="418" w:firstLineChars="218"/>
        <w:jc w:val="left"/>
        <w:rPr>
          <w:sz w:val="24"/>
          <w:szCs w:val="24"/>
        </w:rPr>
      </w:pPr>
      <w:r>
        <w:rPr>
          <w:rFonts w:hint="eastAsia" w:ascii="宋体" w:hAnsi="宋体" w:eastAsia="宋体" w:cs="宋体"/>
          <w:color w:val="333333"/>
          <w:sz w:val="24"/>
          <w:szCs w:val="24"/>
          <w:u w:val="none"/>
        </w:rPr>
        <w:t>1.</w:t>
      </w:r>
      <w:r>
        <w:rPr>
          <w:rFonts w:hint="eastAsia" w:ascii="宋体" w:hAnsi="宋体" w:eastAsia="宋体" w:cs="宋体"/>
          <w:color w:val="0000FF"/>
          <w:sz w:val="24"/>
          <w:szCs w:val="24"/>
          <w:u w:val="single" w:color="auto"/>
        </w:rPr>
        <w:fldChar w:fldCharType="begin"/>
      </w:r>
      <w:r>
        <w:rPr>
          <w:rFonts w:hint="eastAsia" w:ascii="宋体" w:hAnsi="宋体" w:eastAsia="宋体" w:cs="宋体"/>
          <w:color w:val="0000FF"/>
          <w:sz w:val="24"/>
          <w:szCs w:val="24"/>
          <w:u w:val="single" w:color="auto"/>
        </w:rPr>
        <w:instrText xml:space="preserve"> HYPERLINK "http://www.most.gov.cn/mostinfo/xinxifenlei/fgzc/gfxwj/gfxwj2016/201604/W020160407641512815076.doc" \t "http://www.most.gov.cn/mostinfo/xinxifenlei/fgzc/gfxwj/gfxwj2016/201604/_self" </w:instrText>
      </w:r>
      <w:r>
        <w:rPr>
          <w:rFonts w:hint="eastAsia" w:ascii="宋体" w:hAnsi="宋体" w:eastAsia="宋体" w:cs="宋体"/>
          <w:color w:val="0000FF"/>
          <w:sz w:val="24"/>
          <w:szCs w:val="24"/>
          <w:u w:val="single" w:color="auto"/>
        </w:rPr>
        <w:fldChar w:fldCharType="separate"/>
      </w:r>
      <w:r>
        <w:rPr>
          <w:rStyle w:val="4"/>
          <w:rFonts w:hint="eastAsia" w:ascii="宋体" w:hAnsi="宋体" w:eastAsia="宋体" w:cs="宋体"/>
          <w:color w:val="0000FF"/>
          <w:sz w:val="24"/>
          <w:szCs w:val="24"/>
          <w:u w:val="single" w:color="auto"/>
        </w:rPr>
        <w:t>“重大慢性非传染性疾病防控研究”重点专项2016年度项目申报指南</w:t>
      </w:r>
      <w:r>
        <w:rPr>
          <w:rFonts w:hint="eastAsia" w:ascii="宋体" w:hAnsi="宋体" w:eastAsia="宋体" w:cs="宋体"/>
          <w:color w:val="0000FF"/>
          <w:sz w:val="24"/>
          <w:szCs w:val="24"/>
          <w:u w:val="single" w:color="auto"/>
        </w:rPr>
        <w:fldChar w:fldCharType="end"/>
      </w:r>
      <w:r>
        <w:rPr>
          <w:rFonts w:hint="eastAsia" w:ascii="宋体" w:hAnsi="宋体" w:eastAsia="宋体" w:cs="宋体"/>
          <w:color w:val="333333"/>
          <w:sz w:val="24"/>
          <w:szCs w:val="24"/>
          <w:u w:val="none"/>
        </w:rPr>
        <w:t>（</w:t>
      </w:r>
      <w:r>
        <w:rPr>
          <w:rFonts w:hint="eastAsia" w:ascii="宋体" w:hAnsi="宋体" w:eastAsia="宋体" w:cs="宋体"/>
          <w:color w:val="444444"/>
          <w:sz w:val="24"/>
          <w:szCs w:val="24"/>
          <w:u w:val="none"/>
        </w:rPr>
        <w:fldChar w:fldCharType="begin"/>
      </w:r>
      <w:r>
        <w:rPr>
          <w:rFonts w:hint="eastAsia" w:ascii="宋体" w:hAnsi="宋体" w:eastAsia="宋体" w:cs="宋体"/>
          <w:color w:val="444444"/>
          <w:sz w:val="24"/>
          <w:szCs w:val="24"/>
          <w:u w:val="none"/>
        </w:rPr>
        <w:instrText xml:space="preserve"> HYPERLINK "http://www.most.gov.cn/mostinfo/xinxifenlei/fgzc/gfxwj/gfxwj2016/201604/W020160407641513289460.doc" \t "http://www.most.gov.cn/mostinfo/xinxifenlei/fgzc/gfxwj/gfxwj2016/201604/_self" </w:instrText>
      </w:r>
      <w:r>
        <w:rPr>
          <w:rFonts w:hint="eastAsia" w:ascii="宋体" w:hAnsi="宋体" w:eastAsia="宋体" w:cs="宋体"/>
          <w:color w:val="444444"/>
          <w:sz w:val="24"/>
          <w:szCs w:val="24"/>
          <w:u w:val="none"/>
        </w:rPr>
        <w:fldChar w:fldCharType="separate"/>
      </w:r>
      <w:r>
        <w:rPr>
          <w:rStyle w:val="4"/>
          <w:rFonts w:hint="eastAsia" w:ascii="宋体" w:hAnsi="宋体" w:eastAsia="宋体" w:cs="宋体"/>
          <w:color w:val="0000FF"/>
          <w:sz w:val="24"/>
          <w:szCs w:val="24"/>
          <w:u w:val="single" w:color="auto"/>
        </w:rPr>
        <w:t>指南</w:t>
      </w:r>
      <w:r>
        <w:rPr>
          <w:rFonts w:hint="eastAsia" w:ascii="宋体" w:hAnsi="宋体" w:eastAsia="宋体" w:cs="宋体"/>
          <w:color w:val="0000FF"/>
          <w:sz w:val="24"/>
          <w:szCs w:val="24"/>
          <w:u w:val="single" w:color="auto"/>
        </w:rPr>
        <w:t>编制专家名单</w:t>
      </w:r>
      <w:r>
        <w:rPr>
          <w:rFonts w:hint="eastAsia" w:ascii="宋体" w:hAnsi="宋体" w:eastAsia="宋体" w:cs="宋体"/>
          <w:color w:val="444444"/>
          <w:sz w:val="24"/>
          <w:szCs w:val="24"/>
          <w:u w:val="none"/>
        </w:rPr>
        <w:fldChar w:fldCharType="end"/>
      </w:r>
      <w:r>
        <w:rPr>
          <w:rFonts w:hint="eastAsia" w:ascii="宋体" w:hAnsi="宋体" w:eastAsia="宋体" w:cs="宋体"/>
          <w:color w:val="333333"/>
          <w:sz w:val="24"/>
          <w:szCs w:val="24"/>
          <w:u w:val="none"/>
        </w:rPr>
        <w:t>、</w:t>
      </w:r>
      <w:r>
        <w:rPr>
          <w:rStyle w:val="4"/>
          <w:rFonts w:hint="eastAsia" w:ascii="宋体" w:hAnsi="宋体" w:eastAsia="宋体" w:cs="宋体"/>
          <w:color w:val="0000FF"/>
          <w:sz w:val="24"/>
          <w:szCs w:val="24"/>
          <w:u w:val="single" w:color="auto"/>
        </w:rPr>
        <w:fldChar w:fldCharType="begin"/>
      </w:r>
      <w:r>
        <w:rPr>
          <w:rStyle w:val="4"/>
          <w:rFonts w:hint="eastAsia" w:ascii="宋体" w:hAnsi="宋体" w:eastAsia="宋体" w:cs="宋体"/>
          <w:color w:val="0000FF"/>
          <w:sz w:val="24"/>
          <w:szCs w:val="24"/>
          <w:u w:val="single" w:color="auto"/>
        </w:rPr>
        <w:instrText xml:space="preserve"> HYPERLINK "http://www.most.gov.cn/mostinfo/xinxifenlei/fgzc/gfxwj/gfxwj2016/201604/W020160407641513286677.doc" \t "http://www.most.gov.cn/mostinfo/xinxifenlei/fgzc/gfxwj/gfxwj2016/201604/_self" </w:instrText>
      </w:r>
      <w:r>
        <w:rPr>
          <w:rStyle w:val="4"/>
          <w:rFonts w:hint="eastAsia" w:ascii="宋体" w:hAnsi="宋体" w:eastAsia="宋体" w:cs="宋体"/>
          <w:color w:val="0000FF"/>
          <w:sz w:val="24"/>
          <w:szCs w:val="24"/>
          <w:u w:val="single" w:color="auto"/>
        </w:rPr>
        <w:fldChar w:fldCharType="separate"/>
      </w:r>
      <w:r>
        <w:rPr>
          <w:rStyle w:val="4"/>
          <w:rFonts w:hint="eastAsia" w:ascii="宋体" w:hAnsi="宋体" w:eastAsia="宋体" w:cs="宋体"/>
          <w:color w:val="0000FF"/>
          <w:sz w:val="24"/>
          <w:szCs w:val="24"/>
          <w:u w:val="single" w:color="auto"/>
        </w:rPr>
        <w:t>形式审查条件要求</w:t>
      </w:r>
      <w:r>
        <w:rPr>
          <w:rStyle w:val="4"/>
          <w:rFonts w:hint="eastAsia" w:ascii="宋体" w:hAnsi="宋体" w:eastAsia="宋体" w:cs="宋体"/>
          <w:color w:val="0000FF"/>
          <w:sz w:val="24"/>
          <w:szCs w:val="24"/>
          <w:u w:val="single" w:color="auto"/>
        </w:rPr>
        <w:fldChar w:fldCharType="end"/>
      </w:r>
      <w:r>
        <w:rPr>
          <w:rFonts w:hint="eastAsia" w:ascii="宋体" w:hAnsi="宋体" w:eastAsia="宋体" w:cs="宋体"/>
          <w:color w:val="333333"/>
          <w:sz w:val="24"/>
          <w:szCs w:val="24"/>
          <w:u w:val="none"/>
        </w:rPr>
        <w:t>）</w:t>
      </w:r>
      <w:r>
        <w:rPr>
          <w:rFonts w:hint="eastAsia" w:ascii="宋体" w:hAnsi="宋体" w:eastAsia="宋体" w:cs="宋体"/>
          <w:color w:val="333333"/>
          <w:sz w:val="24"/>
          <w:szCs w:val="24"/>
          <w:u w:val="none"/>
        </w:rPr>
        <w:br/>
      </w:r>
      <w:r>
        <w:rPr>
          <w:rFonts w:hint="eastAsia" w:ascii="宋体" w:hAnsi="宋体" w:eastAsia="宋体" w:cs="宋体"/>
          <w:color w:val="333333"/>
          <w:sz w:val="24"/>
          <w:szCs w:val="24"/>
          <w:u w:val="none"/>
        </w:rPr>
        <w:t>  2</w:t>
      </w:r>
      <w:r>
        <w:rPr>
          <w:rFonts w:hint="eastAsia" w:ascii="宋体" w:hAnsi="宋体" w:eastAsia="宋体" w:cs="宋体"/>
          <w:color w:val="444444"/>
          <w:sz w:val="24"/>
          <w:szCs w:val="24"/>
          <w:u w:val="none"/>
        </w:rPr>
        <w:fldChar w:fldCharType="begin"/>
      </w:r>
      <w:r>
        <w:rPr>
          <w:rFonts w:hint="eastAsia" w:ascii="宋体" w:hAnsi="宋体" w:eastAsia="宋体" w:cs="宋体"/>
          <w:color w:val="444444"/>
          <w:sz w:val="24"/>
          <w:szCs w:val="24"/>
          <w:u w:val="none"/>
        </w:rPr>
        <w:instrText xml:space="preserve"> HYPERLINK "http://www.most.gov.cn/mostinfo/xinxifenlei/fgzc/gfxwj/gfxwj2016/201604/W020160407641513286647.doc" \t "http://www.most.gov.cn/mostinfo/xinxifenlei/fgzc/gfxwj/gfxwj2016/201604/_self" </w:instrText>
      </w:r>
      <w:r>
        <w:rPr>
          <w:rFonts w:hint="eastAsia" w:ascii="宋体" w:hAnsi="宋体" w:eastAsia="宋体" w:cs="宋体"/>
          <w:color w:val="444444"/>
          <w:sz w:val="24"/>
          <w:szCs w:val="24"/>
          <w:u w:val="none"/>
        </w:rPr>
        <w:fldChar w:fldCharType="separate"/>
      </w:r>
      <w:r>
        <w:rPr>
          <w:rStyle w:val="5"/>
          <w:rFonts w:hint="eastAsia" w:ascii="宋体" w:hAnsi="宋体" w:eastAsia="宋体" w:cs="宋体"/>
          <w:color w:val="444444"/>
          <w:sz w:val="24"/>
          <w:szCs w:val="24"/>
          <w:u w:val="none"/>
        </w:rPr>
        <w:t>.</w:t>
      </w:r>
      <w:r>
        <w:rPr>
          <w:rStyle w:val="4"/>
          <w:rFonts w:hint="eastAsia" w:ascii="宋体" w:hAnsi="宋体" w:eastAsia="宋体" w:cs="宋体"/>
          <w:color w:val="0000FF"/>
          <w:sz w:val="24"/>
          <w:szCs w:val="24"/>
          <w:u w:val="single" w:color="auto"/>
        </w:rPr>
        <w:t>“海洋环境安全保障”重点专项2016年度项目申报指南</w:t>
      </w:r>
      <w:r>
        <w:rPr>
          <w:rFonts w:hint="eastAsia" w:ascii="宋体" w:hAnsi="宋体" w:eastAsia="宋体" w:cs="宋体"/>
          <w:color w:val="444444"/>
          <w:sz w:val="24"/>
          <w:szCs w:val="24"/>
          <w:u w:val="none"/>
        </w:rPr>
        <w:fldChar w:fldCharType="end"/>
      </w:r>
      <w:r>
        <w:rPr>
          <w:rFonts w:hint="eastAsia" w:ascii="宋体" w:hAnsi="宋体" w:eastAsia="宋体" w:cs="宋体"/>
          <w:color w:val="333333"/>
          <w:sz w:val="24"/>
          <w:szCs w:val="24"/>
          <w:u w:val="none"/>
        </w:rPr>
        <w:t>（</w:t>
      </w:r>
      <w:r>
        <w:rPr>
          <w:rStyle w:val="4"/>
          <w:rFonts w:hint="eastAsia" w:ascii="宋体" w:hAnsi="宋体" w:eastAsia="宋体" w:cs="宋体"/>
          <w:color w:val="0000FF"/>
          <w:sz w:val="24"/>
          <w:szCs w:val="24"/>
          <w:u w:val="single" w:color="auto"/>
        </w:rPr>
        <w:fldChar w:fldCharType="begin"/>
      </w:r>
      <w:r>
        <w:rPr>
          <w:rStyle w:val="4"/>
          <w:rFonts w:hint="eastAsia" w:ascii="宋体" w:hAnsi="宋体" w:eastAsia="宋体" w:cs="宋体"/>
          <w:color w:val="0000FF"/>
          <w:sz w:val="24"/>
          <w:szCs w:val="24"/>
          <w:u w:val="single" w:color="auto"/>
        </w:rPr>
        <w:instrText xml:space="preserve"> HYPERLINK "http://www.most.gov.cn/mostinfo/xinxifenlei/fgzc/gfxwj/gfxwj2016/201604/W020160407641513756072.doc" \t "http://www.most.gov.cn/mostinfo/xinxifenlei/fgzc/gfxwj/gfxwj2016/201604/_self" </w:instrText>
      </w:r>
      <w:r>
        <w:rPr>
          <w:rStyle w:val="4"/>
          <w:rFonts w:hint="eastAsia" w:ascii="宋体" w:hAnsi="宋体" w:eastAsia="宋体" w:cs="宋体"/>
          <w:color w:val="0000FF"/>
          <w:sz w:val="24"/>
          <w:szCs w:val="24"/>
          <w:u w:val="single" w:color="auto"/>
        </w:rPr>
        <w:fldChar w:fldCharType="separate"/>
      </w:r>
      <w:r>
        <w:rPr>
          <w:rStyle w:val="4"/>
          <w:rFonts w:hint="eastAsia" w:ascii="宋体" w:hAnsi="宋体" w:eastAsia="宋体" w:cs="宋体"/>
          <w:color w:val="0000FF"/>
          <w:sz w:val="24"/>
          <w:szCs w:val="24"/>
          <w:u w:val="single" w:color="auto"/>
        </w:rPr>
        <w:t>指南编制专家名单</w:t>
      </w:r>
      <w:r>
        <w:rPr>
          <w:rStyle w:val="4"/>
          <w:rFonts w:hint="eastAsia" w:ascii="宋体" w:hAnsi="宋体" w:eastAsia="宋体" w:cs="宋体"/>
          <w:color w:val="0000FF"/>
          <w:sz w:val="24"/>
          <w:szCs w:val="24"/>
          <w:u w:val="single" w:color="auto"/>
        </w:rPr>
        <w:fldChar w:fldCharType="end"/>
      </w:r>
      <w:r>
        <w:rPr>
          <w:rFonts w:hint="eastAsia" w:ascii="宋体" w:hAnsi="宋体" w:eastAsia="宋体" w:cs="宋体"/>
          <w:color w:val="333333"/>
          <w:sz w:val="24"/>
          <w:szCs w:val="24"/>
          <w:u w:val="none"/>
        </w:rPr>
        <w:t>、</w:t>
      </w:r>
      <w:r>
        <w:rPr>
          <w:rStyle w:val="4"/>
          <w:rFonts w:hint="eastAsia" w:ascii="宋体" w:hAnsi="宋体" w:eastAsia="宋体" w:cs="宋体"/>
          <w:color w:val="0000FF"/>
          <w:sz w:val="24"/>
          <w:szCs w:val="24"/>
          <w:u w:val="single" w:color="auto"/>
        </w:rPr>
        <w:fldChar w:fldCharType="begin"/>
      </w:r>
      <w:r>
        <w:rPr>
          <w:rStyle w:val="4"/>
          <w:rFonts w:hint="eastAsia" w:ascii="宋体" w:hAnsi="宋体" w:eastAsia="宋体" w:cs="宋体"/>
          <w:color w:val="0000FF"/>
          <w:sz w:val="24"/>
          <w:szCs w:val="24"/>
          <w:u w:val="single" w:color="auto"/>
        </w:rPr>
        <w:instrText xml:space="preserve"> HYPERLINK "http://www.most.gov.cn/mostinfo/xinxifenlei/fgzc/gfxwj/gfxwj2016/201604/W020160407641514060320.doc" \t "http://www.most.gov.cn/mostinfo/xinxifenlei/fgzc/gfxwj/gfxwj2016/201604/_self" </w:instrText>
      </w:r>
      <w:r>
        <w:rPr>
          <w:rStyle w:val="4"/>
          <w:rFonts w:hint="eastAsia" w:ascii="宋体" w:hAnsi="宋体" w:eastAsia="宋体" w:cs="宋体"/>
          <w:color w:val="0000FF"/>
          <w:sz w:val="24"/>
          <w:szCs w:val="24"/>
          <w:u w:val="single" w:color="auto"/>
        </w:rPr>
        <w:fldChar w:fldCharType="separate"/>
      </w:r>
      <w:r>
        <w:rPr>
          <w:rStyle w:val="4"/>
          <w:rFonts w:hint="eastAsia" w:ascii="宋体" w:hAnsi="宋体" w:eastAsia="宋体" w:cs="宋体"/>
          <w:color w:val="0000FF"/>
          <w:sz w:val="24"/>
          <w:szCs w:val="24"/>
          <w:u w:val="single" w:color="auto"/>
        </w:rPr>
        <w:t>形式审查条件要求</w:t>
      </w:r>
      <w:r>
        <w:rPr>
          <w:rStyle w:val="4"/>
          <w:rFonts w:hint="eastAsia" w:ascii="宋体" w:hAnsi="宋体" w:eastAsia="宋体" w:cs="宋体"/>
          <w:color w:val="0000FF"/>
          <w:sz w:val="24"/>
          <w:szCs w:val="24"/>
          <w:u w:val="single" w:color="auto"/>
        </w:rPr>
        <w:fldChar w:fldCharType="end"/>
      </w:r>
      <w:r>
        <w:rPr>
          <w:rFonts w:hint="eastAsia" w:ascii="宋体" w:hAnsi="宋体" w:eastAsia="宋体" w:cs="宋体"/>
          <w:color w:val="333333"/>
          <w:sz w:val="24"/>
          <w:szCs w:val="24"/>
          <w:u w:val="none"/>
        </w:rPr>
        <w:t>）</w:t>
      </w:r>
    </w:p>
    <w:p>
      <w:pPr>
        <w:pStyle w:val="2"/>
        <w:widowControl/>
        <w:spacing w:before="0" w:beforeAutospacing="0" w:after="0" w:afterAutospacing="0" w:line="360" w:lineRule="atLeast"/>
        <w:ind w:left="0" w:right="0"/>
        <w:jc w:val="left"/>
        <w:rPr>
          <w:rFonts w:hint="eastAsia" w:ascii="宋体" w:hAnsi="宋体" w:eastAsia="宋体" w:cs="宋体"/>
          <w:color w:val="333333"/>
          <w:sz w:val="19"/>
          <w:szCs w:val="19"/>
          <w:u w:val="none"/>
        </w:rPr>
      </w:pPr>
      <w:r>
        <w:rPr>
          <w:rFonts w:hint="eastAsia" w:ascii="宋体" w:hAnsi="宋体" w:eastAsia="宋体" w:cs="宋体"/>
          <w:color w:val="333333"/>
          <w:sz w:val="19"/>
          <w:szCs w:val="19"/>
          <w:u w:val="none"/>
        </w:rPr>
        <w:t>      </w:t>
      </w:r>
    </w:p>
    <w:p>
      <w:pPr>
        <w:pStyle w:val="2"/>
        <w:widowControl/>
        <w:spacing w:before="0" w:beforeAutospacing="0" w:after="0" w:afterAutospacing="0" w:line="360" w:lineRule="atLeast"/>
        <w:ind w:left="0" w:right="0"/>
        <w:jc w:val="left"/>
      </w:pPr>
    </w:p>
    <w:p>
      <w:pPr>
        <w:pStyle w:val="2"/>
        <w:widowControl/>
        <w:spacing w:before="0" w:beforeAutospacing="0" w:after="0" w:afterAutospacing="0" w:line="360" w:lineRule="atLeast"/>
        <w:ind w:left="0" w:right="0"/>
        <w:jc w:val="left"/>
      </w:pPr>
      <w:r>
        <w:rPr>
          <w:rFonts w:hint="eastAsia" w:ascii="宋体" w:hAnsi="宋体" w:eastAsia="宋体" w:cs="宋体"/>
          <w:color w:val="333333"/>
          <w:sz w:val="19"/>
          <w:szCs w:val="19"/>
          <w:u w:val="none"/>
        </w:rPr>
        <w:t> </w:t>
      </w:r>
    </w:p>
    <w:p>
      <w:pPr>
        <w:pStyle w:val="2"/>
        <w:widowControl/>
        <w:spacing w:before="0" w:beforeAutospacing="0" w:after="0" w:afterAutospacing="0" w:line="360" w:lineRule="atLeast"/>
        <w:ind w:left="0" w:right="0"/>
        <w:jc w:val="left"/>
      </w:pPr>
      <w:r>
        <w:rPr>
          <w:rFonts w:hint="eastAsia" w:ascii="宋体" w:hAnsi="宋体" w:eastAsia="宋体" w:cs="宋体"/>
          <w:color w:val="333333"/>
          <w:sz w:val="19"/>
          <w:szCs w:val="19"/>
          <w:u w:val="none"/>
        </w:rPr>
        <w:t> </w:t>
      </w:r>
    </w:p>
    <w:p>
      <w:pPr>
        <w:pStyle w:val="2"/>
        <w:widowControl/>
        <w:spacing w:before="0" w:beforeAutospacing="0" w:after="0" w:afterAutospacing="0" w:line="360" w:lineRule="atLeast"/>
        <w:ind w:left="0" w:right="0"/>
        <w:jc w:val="center"/>
      </w:pPr>
      <w:r>
        <w:rPr>
          <w:rFonts w:hint="eastAsia" w:ascii="宋体" w:hAnsi="宋体" w:eastAsia="宋体" w:cs="宋体"/>
          <w:color w:val="333333"/>
          <w:sz w:val="19"/>
          <w:szCs w:val="19"/>
          <w:u w:val="none"/>
        </w:rPr>
        <w:t>科 技 部</w:t>
      </w:r>
      <w:r>
        <w:rPr>
          <w:rFonts w:hint="eastAsia" w:ascii="宋体" w:hAnsi="宋体" w:eastAsia="宋体" w:cs="宋体"/>
          <w:color w:val="333333"/>
          <w:sz w:val="19"/>
          <w:szCs w:val="19"/>
          <w:u w:val="none"/>
        </w:rPr>
        <w:br/>
      </w:r>
      <w:r>
        <w:rPr>
          <w:rFonts w:hint="eastAsia" w:ascii="宋体" w:hAnsi="宋体" w:eastAsia="宋体" w:cs="宋体"/>
          <w:color w:val="333333"/>
          <w:sz w:val="19"/>
          <w:szCs w:val="19"/>
          <w:u w:val="none"/>
        </w:rPr>
        <w:t>2016年4月6日</w:t>
      </w:r>
    </w:p>
    <w:p>
      <w:pPr>
        <w:jc w:val="center"/>
        <w:rPr>
          <w:rFonts w:hint="eastAsia" w:ascii="宋体" w:hAnsi="宋体" w:eastAsia="宋体" w:cs="宋体"/>
          <w:color w:val="444444"/>
          <w:sz w:val="14"/>
          <w:szCs w:val="14"/>
          <w:u w:val="none"/>
        </w:rPr>
      </w:pPr>
    </w:p>
    <w:p>
      <w:pPr>
        <w:jc w:val="center"/>
        <w:rPr>
          <w:rFonts w:hint="eastAsia" w:ascii="宋体" w:hAnsi="宋体" w:eastAsia="宋体" w:cs="宋体"/>
          <w:color w:val="444444"/>
          <w:sz w:val="14"/>
          <w:szCs w:val="14"/>
          <w:u w:val="none"/>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splitPgBreakAndParaMark/>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DDD1855"/>
    <w:rsid w:val="0DDD1855"/>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name="header"/>
    <w:lsdException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eastAsia="宋体"/>
      <w:kern w:val="2"/>
      <w:sz w:val="21"/>
      <w:lang w:val="en-US" w:eastAsia="zh-CN"/>
    </w:rPr>
  </w:style>
  <w:style w:type="character" w:default="1" w:styleId="3">
    <w:name w:val="Default Paragraph Font"/>
    <w:unhideWhenUsed/>
    <w:uiPriority w:val="0"/>
  </w:style>
  <w:style w:type="table" w:default="1" w:styleId="6">
    <w:name w:val="Normal Table"/>
    <w:unhideWhenUsed/>
    <w:uiPriority w:val="99"/>
    <w:tblPr>
      <w:tblLayout w:type="fixed"/>
      <w:tblCellMar>
        <w:top w:w="0" w:type="dxa"/>
        <w:left w:w="108" w:type="dxa"/>
        <w:bottom w:w="0" w:type="dxa"/>
        <w:right w:w="108" w:type="dxa"/>
      </w:tblCellMar>
    </w:tblPr>
    <w:tcPr>
      <w:textDirection w:val="lrTb"/>
    </w:tcPr>
  </w:style>
  <w:style w:type="paragraph" w:styleId="2">
    <w:name w:val="Normal (Web)"/>
    <w:basedOn w:val="1"/>
    <w:unhideWhenUsed/>
    <w:uiPriority w:val="99"/>
    <w:pPr>
      <w:spacing w:before="0" w:beforeAutospacing="1" w:after="0" w:afterAutospacing="1"/>
      <w:ind w:left="0" w:right="0"/>
      <w:jc w:val="left"/>
    </w:pPr>
    <w:rPr>
      <w:kern w:val="0"/>
      <w:sz w:val="24"/>
      <w:lang w:val="en-US" w:eastAsia="zh-CN" w:bidi="ar-SA"/>
    </w:rPr>
  </w:style>
  <w:style w:type="character" w:styleId="4">
    <w:name w:val="FollowedHyperlink"/>
    <w:basedOn w:val="3"/>
    <w:unhideWhenUsed/>
    <w:uiPriority w:val="99"/>
    <w:rPr>
      <w:color w:val="444444"/>
      <w:sz w:val="14"/>
      <w:szCs w:val="14"/>
      <w:u w:val="none"/>
    </w:rPr>
  </w:style>
  <w:style w:type="character" w:styleId="5">
    <w:name w:val="Hyperlink"/>
    <w:basedOn w:val="3"/>
    <w:unhideWhenUsed/>
    <w:uiPriority w:val="99"/>
    <w:rPr>
      <w:color w:val="444444"/>
      <w:sz w:val="14"/>
      <w:szCs w:val="14"/>
      <w:u w:val="none"/>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1</Pages>
  <Words>0</Words>
  <Characters>0</Characters>
  <Lines>1</Lines>
  <Paragraphs>1</Paragraphs>
  <ScaleCrop>false</ScaleCrop>
  <LinksUpToDate>false</LinksUpToDate>
  <CharactersWithSpaces>0</CharactersWithSpaces>
  <Application>WPS Office_9.1.0.5100_{F1E327BC-269C-435d-A152-05C5408002CA}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2016-04-08T07:48:00Z</dcterms:created>
  <dc:creator>苏弟华</dc:creator>
  <cp:lastModifiedBy>苏弟华</cp:lastModifiedBy>
  <dcterms:modified xsi:type="dcterms:W3CDTF">2016-04-08T07:53:58Z</dcterms:modified>
  <dc:title>科技部关于发布国家重点研发计划重大慢性非传染性疾病防控研究等重点专项2016年度项目申报指南的通知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2052-9.1.0.5100</vt:lpwstr>
  </property>
</Properties>
</file>